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D11A36"/>
          <w:sz w:val="22"/>
          <w:szCs w:val="22"/>
        </w:rPr>
        <w:t xml:space="preserve">CLUB BADMINTON DE NICE</w:t>
      </w:r>
    </w:p>
    <w:p>
      <w:pPr>
        <w:spacing w:after="400"/>
        <w:jc w:val="center"/>
      </w:pPr>
      <w:r>
        <w:rPr>
          <w:rFonts w:ascii="Calibri" w:cs="Calibri" w:eastAsia="Calibri" w:hAnsi="Calibri"/>
          <w:i/>
          <w:iCs/>
          <w:color w:val="555555"/>
          <w:sz w:val="18"/>
          <w:szCs w:val="18"/>
        </w:rPr>
        <w:t xml:space="preserve">Association loi 1901</w:t>
      </w:r>
    </w:p>
    <w:p>
      <w:pPr>
        <w:spacing w:after="100"/>
        <w:jc w:val="center"/>
      </w:pPr>
      <w:r>
        <w:rPr>
          <w:rFonts w:ascii="Arial" w:cs="Arial" w:eastAsia="Arial" w:hAnsi="Arial"/>
          <w:b/>
          <w:bCs/>
          <w:color w:val="1A1A1A"/>
          <w:sz w:val="38"/>
          <w:szCs w:val="38"/>
        </w:rPr>
        <w:t xml:space="preserve">CHARTE INTERCLUBS</w:t>
      </w:r>
    </w:p>
    <w:p>
      <w:pPr>
        <w:pBdr>
          <w:bottom w:val="single" w:color="D11A36" w:sz="12" w:space="8"/>
        </w:pBdr>
        <w:spacing w:after="500"/>
        <w:jc w:val="center"/>
      </w:pPr>
      <w:r>
        <w:rPr>
          <w:rFonts w:ascii="Calibri" w:cs="Calibri" w:eastAsia="Calibri" w:hAnsi="Calibri"/>
          <w:color w:val="555555"/>
          <w:sz w:val="20"/>
          <w:szCs w:val="20"/>
        </w:rPr>
        <w:t xml:space="preserve">Départemental — Régional — National   •   Saison 2026-2027</w:t>
      </w:r>
    </w:p>
    <w:p>
      <w:pPr>
        <w:pStyle w:val="Heading1"/>
        <w:pBdr>
          <w:bottom w:val="single" w:color="D11A36" w:sz="6" w:space="4"/>
        </w:pBdr>
        <w:spacing w:after="160" w:before="340"/>
      </w:pPr>
      <w:r>
        <w:rPr>
          <w:rFonts w:ascii="Arial" w:cs="Arial" w:eastAsia="Arial" w:hAnsi="Arial"/>
          <w:b/>
          <w:bCs/>
          <w:color w:val="D11A36"/>
          <w:sz w:val="25"/>
          <w:szCs w:val="25"/>
        </w:rPr>
        <w:t xml:space="preserve">I – Objet</w:t>
      </w:r>
    </w:p>
    <w:p>
      <w:pPr>
        <w:spacing w:after="130" w:line="290"/>
      </w:pPr>
      <w:r>
        <w:rPr>
          <w:rFonts w:ascii="Calibri" w:cs="Calibri" w:eastAsia="Calibri" w:hAnsi="Calibri"/>
          <w:sz w:val="20"/>
          <w:szCs w:val="20"/>
        </w:rPr>
        <w:t xml:space="preserve">Le Club Badminton de Nice engage des équipes en championnat par équipes à trois niveaux :</w:t>
      </w:r>
    </w:p>
    <w:p>
      <w:pPr>
        <w:pStyle w:val="ListParagraph"/>
        <w:numPr>
          <w:ilvl w:val="0"/>
          <w:numId w:val="2"/>
        </w:numPr>
        <w:spacing w:after="90" w:line="280"/>
      </w:pPr>
      <w:r>
        <w:rPr>
          <w:rFonts w:ascii="Calibri" w:cs="Calibri" w:eastAsia="Calibri" w:hAnsi="Calibri"/>
          <w:sz w:val="20"/>
          <w:szCs w:val="20"/>
        </w:rPr>
        <w:t xml:space="preserve">Départemental (Interclubs 06), organisé par le Comité BAD06 selon son règlement en vigueur (accessible sur bad06.com) ;</w:t>
      </w:r>
    </w:p>
    <w:p>
      <w:pPr>
        <w:pStyle w:val="ListParagraph"/>
        <w:numPr>
          <w:ilvl w:val="0"/>
          <w:numId w:val="2"/>
        </w:numPr>
        <w:spacing w:after="90" w:line="280"/>
      </w:pPr>
      <w:r>
        <w:rPr>
          <w:rFonts w:ascii="Calibri" w:cs="Calibri" w:eastAsia="Calibri" w:hAnsi="Calibri"/>
          <w:sz w:val="20"/>
          <w:szCs w:val="20"/>
        </w:rPr>
        <w:t xml:space="preserve">Régional, organisé par la Ligue SUDBaD selon son règlement en vigueur ;</w:t>
      </w:r>
    </w:p>
    <w:p>
      <w:pPr>
        <w:pStyle w:val="ListParagraph"/>
        <w:numPr>
          <w:ilvl w:val="0"/>
          <w:numId w:val="2"/>
        </w:numPr>
        <w:spacing w:after="90" w:line="280"/>
      </w:pPr>
      <w:r>
        <w:rPr>
          <w:rFonts w:ascii="Calibri" w:cs="Calibri" w:eastAsia="Calibri" w:hAnsi="Calibri"/>
          <w:sz w:val="20"/>
          <w:szCs w:val="20"/>
        </w:rPr>
        <w:t xml:space="preserve">National — le CBN est actuellement engagé en Nationale 2, et constitue à ce jour la seule équipe des Alpes-Maritimes évoluant à ce niveau.</w:t>
      </w:r>
    </w:p>
    <w:p>
      <w:pPr>
        <w:spacing w:after="130" w:line="290"/>
      </w:pPr>
      <w:r>
        <w:rPr>
          <w:rFonts w:ascii="Calibri" w:cs="Calibri" w:eastAsia="Calibri" w:hAnsi="Calibri"/>
          <w:sz w:val="20"/>
          <w:szCs w:val="20"/>
        </w:rPr>
        <w:t xml:space="preserve">Chaque club, capitaine et joueur souhaitant participer à l'un de ces championnats doit se conformer au règlement fédéral correspondant. Le présent document rappelle les principales exigences de ces règlements et structure la démarche interne de constitution des équipes pour le CBN, à tous les niveaux. En cas de divergence, le règlement de l'instance organisatrice (BAD06, SUDBaD ou FFBaD) prévaut toujours sur la présente charte.</w:t>
      </w:r>
    </w:p>
    <w:p>
      <w:pPr>
        <w:pStyle w:val="Heading1"/>
        <w:pBdr>
          <w:bottom w:val="single" w:color="D11A36" w:sz="6" w:space="4"/>
        </w:pBdr>
        <w:spacing w:after="160" w:before="340"/>
      </w:pPr>
      <w:r>
        <w:rPr>
          <w:rFonts w:ascii="Arial" w:cs="Arial" w:eastAsia="Arial" w:hAnsi="Arial"/>
          <w:b/>
          <w:bCs/>
          <w:color w:val="D11A36"/>
          <w:sz w:val="25"/>
          <w:szCs w:val="25"/>
        </w:rPr>
        <w:t xml:space="preserve">II – L'esprit des Interclubs</w:t>
      </w:r>
    </w:p>
    <w:p>
      <w:pPr>
        <w:spacing w:after="130" w:line="290"/>
      </w:pPr>
      <w:r>
        <w:rPr>
          <w:rFonts w:ascii="Calibri" w:cs="Calibri" w:eastAsia="Calibri" w:hAnsi="Calibri"/>
          <w:sz w:val="20"/>
          <w:szCs w:val="20"/>
        </w:rPr>
        <w:t xml:space="preserve">Le championnat Interclubs, quel que soit le niveau, est une compétition par équipe se déroulant tout au long de la saison. Les rencontres départementales se jouent généralement en semaine, en soirée, à domicile ou dans d'autres clubs du département. Les rencontres régionales et nationales se jouent le plus souvent le week-end et impliquent des déplacements plus importants, parfois sur plusieurs jours.</w:t>
      </w:r>
    </w:p>
    <w:p>
      <w:pPr>
        <w:spacing w:after="130" w:line="290"/>
      </w:pPr>
      <w:r>
        <w:rPr>
          <w:rFonts w:ascii="Calibri" w:cs="Calibri" w:eastAsia="Calibri" w:hAnsi="Calibri"/>
          <w:sz w:val="20"/>
          <w:szCs w:val="20"/>
        </w:rPr>
        <w:t xml:space="preserve">À la différence des tournois individuels auxquels chaque joueur peut s'inscrire durant la saison, l'esprit principal du championnat Interclubs est de jouer pour son club et pour son équipe, à quelque niveau que ce soit. En intégrant une équipe, chaque joueur ou joueuse accepte de participer aux disciplines qui pourront lui être assignées par le Capitaine ou le staff technique en charge de la composition pour chaque rencontre. L'adhésion à cet esprit collectif est primordiale avant de s'engager.</w:t>
      </w:r>
    </w:p>
    <w:p>
      <w:pPr>
        <w:pStyle w:val="Heading1"/>
        <w:pBdr>
          <w:bottom w:val="single" w:color="D11A36" w:sz="6" w:space="4"/>
        </w:pBdr>
        <w:spacing w:after="160" w:before="340"/>
      </w:pPr>
      <w:r>
        <w:rPr>
          <w:rFonts w:ascii="Arial" w:cs="Arial" w:eastAsia="Arial" w:hAnsi="Arial"/>
          <w:b/>
          <w:bCs/>
          <w:color w:val="D11A36"/>
          <w:sz w:val="25"/>
          <w:szCs w:val="25"/>
        </w:rPr>
        <w:t xml:space="preserve">III – Gouvernance et constitution des équipes</w:t>
      </w:r>
    </w:p>
    <w:p>
      <w:pPr>
        <w:spacing w:after="130" w:line="290"/>
      </w:pPr>
      <w:r>
        <w:rPr>
          <w:rFonts w:ascii="Calibri" w:cs="Calibri" w:eastAsia="Calibri" w:hAnsi="Calibri"/>
          <w:sz w:val="20"/>
          <w:szCs w:val="20"/>
        </w:rPr>
        <w:t xml:space="preserve">Départemental, Régional et National : la commission Interclubs du CBN est constituée du Directeur sportif et des responsables Interclubs désignés pour chacun des trois niveaux — départemental, régional et national. Ces responsables sont désignés chaque année parmi les volontaires, dont les profils sont évalués par le Directeur sportif du CBN afin de statuer sur les responsables définitifs. L'ensemble des Capitaines d'équipes, à tous les niveaux, est réuni dans un groupe dédié animé par la commission, afin de favoriser les interactions entre les équipes et de servir l'intérêt de l'ensemble du collectif.</w:t>
      </w:r>
    </w:p>
    <w:p>
      <w:pPr>
        <w:spacing w:after="130" w:line="290"/>
      </w:pPr>
      <w:r>
        <w:rPr>
          <w:rFonts w:ascii="Calibri" w:cs="Calibri" w:eastAsia="Calibri" w:hAnsi="Calibri"/>
          <w:sz w:val="20"/>
          <w:szCs w:val="20"/>
        </w:rPr>
        <w:t xml:space="preserve">Le rôle premier de la commission est d'organiser le recensement des joueurs souhaitant participer aux Interclubs, à tous les niveaux, chaque saison, afin d'éditer les listes servant de base aux propositions de composition d'équipes. Pour le départemental, ces propositions sont établies par le responsable Interclubs départemental concerné puis validées par le Directeur sportif, qui en assure la cohérence sportive et procède aux réajustements nécessaires, en lien étroit avec les objectifs définis par les dirigeants du Club. La commission veille également au respect de la présente charte et des règlements BAD06, Ligue SUDBaD et FFBaD, notamment sur la question de la mobilité de certains joueurs en cours de saison.</w:t>
      </w:r>
    </w:p>
    <w:p>
      <w:pPr>
        <w:spacing w:after="130" w:line="290"/>
      </w:pPr>
      <w:r>
        <w:rPr>
          <w:rFonts w:ascii="Calibri" w:cs="Calibri" w:eastAsia="Calibri" w:hAnsi="Calibri"/>
          <w:sz w:val="20"/>
          <w:szCs w:val="20"/>
        </w:rPr>
        <w:t xml:space="preserve">Régional et National : la constitution et la composition des équipes régionale et nationale (Nationale 2) restent arrêtées par le Directeur sportif et le staff technique, au regard des enjeux sportifs et du niveau d'engagement requis à ces niveaux, en s'appuyant sur les remontées des responsables Interclubs régional et national au sein de la commission. Les décisions de sélection à ces niveaux relèvent en dernier ressort de la seule appréciation du staff technique, sur critères sportifs et d'engagement envers le Club.</w:t>
      </w:r>
    </w:p>
    <w:p>
      <w:pPr>
        <w:pStyle w:val="Heading1"/>
        <w:pBdr>
          <w:bottom w:val="single" w:color="D11A36" w:sz="6" w:space="4"/>
        </w:pBdr>
        <w:spacing w:after="160" w:before="340"/>
      </w:pPr>
      <w:r>
        <w:rPr>
          <w:rFonts w:ascii="Arial" w:cs="Arial" w:eastAsia="Arial" w:hAnsi="Arial"/>
          <w:b/>
          <w:bCs/>
          <w:color w:val="D11A36"/>
          <w:sz w:val="25"/>
          <w:szCs w:val="25"/>
        </w:rPr>
        <w:t xml:space="preserve">IV – Critères de composition des équipes</w:t>
      </w:r>
    </w:p>
    <w:p>
      <w:pPr>
        <w:spacing w:after="130" w:line="290"/>
      </w:pPr>
      <w:r>
        <w:rPr>
          <w:rFonts w:ascii="Calibri" w:cs="Calibri" w:eastAsia="Calibri" w:hAnsi="Calibri"/>
          <w:sz w:val="20"/>
          <w:szCs w:val="20"/>
        </w:rPr>
        <w:t xml:space="preserve">Départemental : l'exigence principale de constitution initiale des équipes est de respecter une hiérarchie basée sur les classements des joueurs et joueuses en début de saison. Une équipe « supérieure » doit impérativement afficher, à chaque rencontre, une composition d'une valeur globale supérieure à celle des équipes inférieures du Club ; les joueurs les mieux classés doivent jouer dans les meilleures équipes, tout au long de la saison.</w:t>
      </w:r>
    </w:p>
    <w:p>
      <w:pPr>
        <w:spacing w:after="130" w:line="290"/>
      </w:pPr>
      <w:r>
        <w:rPr>
          <w:rFonts w:ascii="Calibri" w:cs="Calibri" w:eastAsia="Calibri" w:hAnsi="Calibri"/>
          <w:sz w:val="20"/>
          <w:szCs w:val="20"/>
        </w:rPr>
        <w:t xml:space="preserve">Les contraintes minimales d'effectifs par rencontre, à date de publication de la présente charte, sont les suivantes (à vérifier chaque saison auprès du règlement BAD06 en vigueur, ces exigences pouvant évoluer) :</w:t>
      </w:r>
    </w:p>
    <w:tbl>
      <w:tblPr>
        <w:tblW w:type="dxa" w:w="9700"/>
        <w:tblBorders>
          <w:top w:val="single" w:color="auto" w:sz="4"/>
          <w:left w:val="single" w:color="auto" w:sz="4"/>
          <w:bottom w:val="single" w:color="auto" w:sz="4"/>
          <w:right w:val="single" w:color="auto" w:sz="4"/>
          <w:insideH w:val="single" w:color="auto" w:sz="4"/>
          <w:insideV w:val="single" w:color="auto" w:sz="4"/>
        </w:tblBorders>
      </w:tblPr>
      <w:tblGrid>
        <w:gridCol w:w="1940"/>
        <w:gridCol w:w="1940"/>
        <w:gridCol w:w="1940"/>
        <w:gridCol w:w="1940"/>
        <w:gridCol w:w="1940"/>
      </w:tblGrid>
      <w:tr>
        <w:tc>
          <w:tcPr>
            <w:tcW w:type="dxa" w:w="1900"/>
            <w:shd w:fill="D11A36" w:val="clear"/>
          </w:tcPr>
          <w:p>
            <w:pPr>
              <w:jc w:val="center"/>
            </w:pPr>
            <w:r>
              <w:rPr>
                <w:rFonts w:ascii="Calibri" w:cs="Calibri" w:eastAsia="Calibri" w:hAnsi="Calibri"/>
                <w:b/>
                <w:bCs/>
                <w:color w:val="FFFFFF"/>
                <w:sz w:val="17"/>
                <w:szCs w:val="17"/>
              </w:rPr>
              <w:t xml:space="preserve">Équipe</w:t>
            </w:r>
          </w:p>
        </w:tc>
        <w:tc>
          <w:tcPr>
            <w:tcW w:type="dxa" w:w="1900"/>
            <w:shd w:fill="D11A36" w:val="clear"/>
          </w:tcPr>
          <w:p>
            <w:pPr>
              <w:jc w:val="center"/>
            </w:pPr>
            <w:r>
              <w:rPr>
                <w:rFonts w:ascii="Calibri" w:cs="Calibri" w:eastAsia="Calibri" w:hAnsi="Calibri"/>
                <w:b/>
                <w:bCs/>
                <w:color w:val="FFFFFF"/>
                <w:sz w:val="17"/>
                <w:szCs w:val="17"/>
              </w:rPr>
              <w:t xml:space="preserve">Hommes mini</w:t>
            </w:r>
          </w:p>
        </w:tc>
        <w:tc>
          <w:tcPr>
            <w:tcW w:type="dxa" w:w="1900"/>
            <w:shd w:fill="D11A36" w:val="clear"/>
          </w:tcPr>
          <w:p>
            <w:pPr>
              <w:jc w:val="center"/>
            </w:pPr>
            <w:r>
              <w:rPr>
                <w:rFonts w:ascii="Calibri" w:cs="Calibri" w:eastAsia="Calibri" w:hAnsi="Calibri"/>
                <w:b/>
                <w:bCs/>
                <w:color w:val="FFFFFF"/>
                <w:sz w:val="17"/>
                <w:szCs w:val="17"/>
              </w:rPr>
              <w:t xml:space="preserve">Hommes objectif</w:t>
            </w:r>
          </w:p>
        </w:tc>
        <w:tc>
          <w:tcPr>
            <w:tcW w:type="dxa" w:w="1900"/>
            <w:shd w:fill="D11A36" w:val="clear"/>
          </w:tcPr>
          <w:p>
            <w:pPr>
              <w:jc w:val="center"/>
            </w:pPr>
            <w:r>
              <w:rPr>
                <w:rFonts w:ascii="Calibri" w:cs="Calibri" w:eastAsia="Calibri" w:hAnsi="Calibri"/>
                <w:b/>
                <w:bCs/>
                <w:color w:val="FFFFFF"/>
                <w:sz w:val="17"/>
                <w:szCs w:val="17"/>
              </w:rPr>
              <w:t xml:space="preserve">Femmes mini</w:t>
            </w:r>
          </w:p>
        </w:tc>
        <w:tc>
          <w:tcPr>
            <w:tcW w:type="dxa" w:w="1900"/>
            <w:shd w:fill="D11A36" w:val="clear"/>
          </w:tcPr>
          <w:p>
            <w:pPr>
              <w:jc w:val="center"/>
            </w:pPr>
            <w:r>
              <w:rPr>
                <w:rFonts w:ascii="Calibri" w:cs="Calibri" w:eastAsia="Calibri" w:hAnsi="Calibri"/>
                <w:b/>
                <w:bCs/>
                <w:color w:val="FFFFFF"/>
                <w:sz w:val="17"/>
                <w:szCs w:val="17"/>
              </w:rPr>
              <w:t xml:space="preserve">Femmes objectif</w:t>
            </w:r>
          </w:p>
        </w:tc>
      </w:tr>
      <w:tr>
        <w:tc>
          <w:tcPr>
            <w:tcW w:type="dxa" w:w="1900"/>
            <w:shd w:fill="FFFFFF" w:val="clear"/>
          </w:tcPr>
          <w:p>
            <w:pPr>
              <w:jc w:val="center"/>
            </w:pPr>
            <w:r>
              <w:rPr>
                <w:rFonts w:ascii="Calibri" w:cs="Calibri" w:eastAsia="Calibri" w:hAnsi="Calibri"/>
                <w:b/>
                <w:bCs/>
                <w:sz w:val="18"/>
                <w:szCs w:val="18"/>
              </w:rPr>
              <w:t xml:space="preserve">D1</w:t>
            </w:r>
          </w:p>
        </w:tc>
        <w:tc>
          <w:tcPr>
            <w:tcW w:type="dxa" w:w="1900"/>
            <w:shd w:fill="FFFFFF" w:val="clear"/>
          </w:tcPr>
          <w:p>
            <w:pPr>
              <w:jc w:val="center"/>
            </w:pPr>
            <w:r>
              <w:rPr>
                <w:rFonts w:ascii="Calibri" w:cs="Calibri" w:eastAsia="Calibri" w:hAnsi="Calibri"/>
                <w:b w:val="false"/>
                <w:bCs w:val="false"/>
                <w:sz w:val="18"/>
                <w:szCs w:val="18"/>
              </w:rPr>
              <w:t xml:space="preserve">3</w:t>
            </w:r>
          </w:p>
        </w:tc>
        <w:tc>
          <w:tcPr>
            <w:tcW w:type="dxa" w:w="1900"/>
            <w:shd w:fill="FFFFFF" w:val="clear"/>
          </w:tcPr>
          <w:p>
            <w:pPr>
              <w:jc w:val="center"/>
            </w:pPr>
            <w:r>
              <w:rPr>
                <w:rFonts w:ascii="Calibri" w:cs="Calibri" w:eastAsia="Calibri" w:hAnsi="Calibri"/>
                <w:b w:val="false"/>
                <w:bCs w:val="false"/>
                <w:sz w:val="18"/>
                <w:szCs w:val="18"/>
              </w:rPr>
              <w:t xml:space="preserve">4</w:t>
            </w:r>
          </w:p>
        </w:tc>
        <w:tc>
          <w:tcPr>
            <w:tcW w:type="dxa" w:w="1900"/>
            <w:shd w:fill="FFFFFF" w:val="clear"/>
          </w:tcPr>
          <w:p>
            <w:pPr>
              <w:jc w:val="center"/>
            </w:pPr>
            <w:r>
              <w:rPr>
                <w:rFonts w:ascii="Calibri" w:cs="Calibri" w:eastAsia="Calibri" w:hAnsi="Calibri"/>
                <w:b w:val="false"/>
                <w:bCs w:val="false"/>
                <w:sz w:val="18"/>
                <w:szCs w:val="18"/>
              </w:rPr>
              <w:t xml:space="preserve">3</w:t>
            </w:r>
          </w:p>
        </w:tc>
        <w:tc>
          <w:tcPr>
            <w:tcW w:type="dxa" w:w="1900"/>
            <w:shd w:fill="FFFFFF" w:val="clear"/>
          </w:tcPr>
          <w:p>
            <w:pPr>
              <w:jc w:val="center"/>
            </w:pPr>
            <w:r>
              <w:rPr>
                <w:rFonts w:ascii="Calibri" w:cs="Calibri" w:eastAsia="Calibri" w:hAnsi="Calibri"/>
                <w:b w:val="false"/>
                <w:bCs w:val="false"/>
                <w:sz w:val="18"/>
                <w:szCs w:val="18"/>
              </w:rPr>
              <w:t xml:space="preserve">4</w:t>
            </w:r>
          </w:p>
        </w:tc>
      </w:tr>
      <w:tr>
        <w:tc>
          <w:tcPr>
            <w:tcW w:type="dxa" w:w="1900"/>
            <w:shd w:fill="FFFFFF" w:val="clear"/>
          </w:tcPr>
          <w:p>
            <w:pPr>
              <w:jc w:val="center"/>
            </w:pPr>
            <w:r>
              <w:rPr>
                <w:rFonts w:ascii="Calibri" w:cs="Calibri" w:eastAsia="Calibri" w:hAnsi="Calibri"/>
                <w:b/>
                <w:bCs/>
                <w:sz w:val="18"/>
                <w:szCs w:val="18"/>
              </w:rPr>
              <w:t xml:space="preserve">D2</w:t>
            </w:r>
          </w:p>
        </w:tc>
        <w:tc>
          <w:tcPr>
            <w:tcW w:type="dxa" w:w="1900"/>
            <w:shd w:fill="FFFFFF" w:val="clear"/>
          </w:tcPr>
          <w:p>
            <w:pPr>
              <w:jc w:val="center"/>
            </w:pPr>
            <w:r>
              <w:rPr>
                <w:rFonts w:ascii="Calibri" w:cs="Calibri" w:eastAsia="Calibri" w:hAnsi="Calibri"/>
                <w:b w:val="false"/>
                <w:bCs w:val="false"/>
                <w:sz w:val="18"/>
                <w:szCs w:val="18"/>
              </w:rPr>
              <w:t xml:space="preserve">4</w:t>
            </w:r>
          </w:p>
        </w:tc>
        <w:tc>
          <w:tcPr>
            <w:tcW w:type="dxa" w:w="1900"/>
            <w:shd w:fill="FFFFFF" w:val="clear"/>
          </w:tcPr>
          <w:p>
            <w:pPr>
              <w:jc w:val="center"/>
            </w:pPr>
            <w:r>
              <w:rPr>
                <w:rFonts w:ascii="Calibri" w:cs="Calibri" w:eastAsia="Calibri" w:hAnsi="Calibri"/>
                <w:b w:val="false"/>
                <w:bCs w:val="false"/>
                <w:sz w:val="18"/>
                <w:szCs w:val="18"/>
              </w:rPr>
              <w:t xml:space="preserve">5</w:t>
            </w:r>
          </w:p>
        </w:tc>
        <w:tc>
          <w:tcPr>
            <w:tcW w:type="dxa" w:w="1900"/>
            <w:shd w:fill="FFFFFF" w:val="clear"/>
          </w:tcPr>
          <w:p>
            <w:pPr>
              <w:jc w:val="center"/>
            </w:pPr>
            <w:r>
              <w:rPr>
                <w:rFonts w:ascii="Calibri" w:cs="Calibri" w:eastAsia="Calibri" w:hAnsi="Calibri"/>
                <w:b w:val="false"/>
                <w:bCs w:val="false"/>
                <w:sz w:val="18"/>
                <w:szCs w:val="18"/>
              </w:rPr>
              <w:t xml:space="preserve">2</w:t>
            </w:r>
          </w:p>
        </w:tc>
        <w:tc>
          <w:tcPr>
            <w:tcW w:type="dxa" w:w="1900"/>
            <w:shd w:fill="FFFFFF" w:val="clear"/>
          </w:tcPr>
          <w:p>
            <w:pPr>
              <w:jc w:val="center"/>
            </w:pPr>
            <w:r>
              <w:rPr>
                <w:rFonts w:ascii="Calibri" w:cs="Calibri" w:eastAsia="Calibri" w:hAnsi="Calibri"/>
                <w:b w:val="false"/>
                <w:bCs w:val="false"/>
                <w:sz w:val="18"/>
                <w:szCs w:val="18"/>
              </w:rPr>
              <w:t xml:space="preserve">3</w:t>
            </w:r>
          </w:p>
        </w:tc>
      </w:tr>
      <w:tr>
        <w:tc>
          <w:tcPr>
            <w:tcW w:type="dxa" w:w="1900"/>
            <w:shd w:fill="FFFFFF" w:val="clear"/>
          </w:tcPr>
          <w:p>
            <w:pPr>
              <w:jc w:val="center"/>
            </w:pPr>
            <w:r>
              <w:rPr>
                <w:rFonts w:ascii="Calibri" w:cs="Calibri" w:eastAsia="Calibri" w:hAnsi="Calibri"/>
                <w:b/>
                <w:bCs/>
                <w:sz w:val="18"/>
                <w:szCs w:val="18"/>
              </w:rPr>
              <w:t xml:space="preserve">D3</w:t>
            </w:r>
          </w:p>
        </w:tc>
        <w:tc>
          <w:tcPr>
            <w:tcW w:type="dxa" w:w="1900"/>
            <w:shd w:fill="FFFFFF" w:val="clear"/>
          </w:tcPr>
          <w:p>
            <w:pPr>
              <w:jc w:val="center"/>
            </w:pPr>
            <w:r>
              <w:rPr>
                <w:rFonts w:ascii="Calibri" w:cs="Calibri" w:eastAsia="Calibri" w:hAnsi="Calibri"/>
                <w:b w:val="false"/>
                <w:bCs w:val="false"/>
                <w:sz w:val="18"/>
                <w:szCs w:val="18"/>
              </w:rPr>
              <w:t xml:space="preserve">4</w:t>
            </w:r>
          </w:p>
        </w:tc>
        <w:tc>
          <w:tcPr>
            <w:tcW w:type="dxa" w:w="1900"/>
            <w:shd w:fill="FFFFFF" w:val="clear"/>
          </w:tcPr>
          <w:p>
            <w:pPr>
              <w:jc w:val="center"/>
            </w:pPr>
            <w:r>
              <w:rPr>
                <w:rFonts w:ascii="Calibri" w:cs="Calibri" w:eastAsia="Calibri" w:hAnsi="Calibri"/>
                <w:b w:val="false"/>
                <w:bCs w:val="false"/>
                <w:sz w:val="18"/>
                <w:szCs w:val="18"/>
              </w:rPr>
              <w:t xml:space="preserve">5</w:t>
            </w:r>
          </w:p>
        </w:tc>
        <w:tc>
          <w:tcPr>
            <w:tcW w:type="dxa" w:w="1900"/>
            <w:shd w:fill="FFFFFF" w:val="clear"/>
          </w:tcPr>
          <w:p>
            <w:pPr>
              <w:jc w:val="center"/>
            </w:pPr>
            <w:r>
              <w:rPr>
                <w:rFonts w:ascii="Calibri" w:cs="Calibri" w:eastAsia="Calibri" w:hAnsi="Calibri"/>
                <w:b w:val="false"/>
                <w:bCs w:val="false"/>
                <w:sz w:val="18"/>
                <w:szCs w:val="18"/>
              </w:rPr>
              <w:t xml:space="preserve">2</w:t>
            </w:r>
          </w:p>
        </w:tc>
        <w:tc>
          <w:tcPr>
            <w:tcW w:type="dxa" w:w="1900"/>
            <w:shd w:fill="FFFFFF" w:val="clear"/>
          </w:tcPr>
          <w:p>
            <w:pPr>
              <w:jc w:val="center"/>
            </w:pPr>
            <w:r>
              <w:rPr>
                <w:rFonts w:ascii="Calibri" w:cs="Calibri" w:eastAsia="Calibri" w:hAnsi="Calibri"/>
                <w:b w:val="false"/>
                <w:bCs w:val="false"/>
                <w:sz w:val="18"/>
                <w:szCs w:val="18"/>
              </w:rPr>
              <w:t xml:space="preserve">3</w:t>
            </w:r>
          </w:p>
        </w:tc>
      </w:tr>
      <w:tr>
        <w:tc>
          <w:tcPr>
            <w:tcW w:type="dxa" w:w="1900"/>
            <w:shd w:fill="FFFFFF" w:val="clear"/>
          </w:tcPr>
          <w:p>
            <w:pPr>
              <w:jc w:val="center"/>
            </w:pPr>
            <w:r>
              <w:rPr>
                <w:rFonts w:ascii="Calibri" w:cs="Calibri" w:eastAsia="Calibri" w:hAnsi="Calibri"/>
                <w:b/>
                <w:bCs/>
                <w:sz w:val="18"/>
                <w:szCs w:val="18"/>
              </w:rPr>
              <w:t xml:space="preserve">D4</w:t>
            </w:r>
          </w:p>
        </w:tc>
        <w:tc>
          <w:tcPr>
            <w:tcW w:type="dxa" w:w="1900"/>
            <w:shd w:fill="FFFFFF" w:val="clear"/>
          </w:tcPr>
          <w:p>
            <w:pPr>
              <w:jc w:val="center"/>
            </w:pPr>
            <w:r>
              <w:rPr>
                <w:rFonts w:ascii="Calibri" w:cs="Calibri" w:eastAsia="Calibri" w:hAnsi="Calibri"/>
                <w:b w:val="false"/>
                <w:bCs w:val="false"/>
                <w:sz w:val="18"/>
                <w:szCs w:val="18"/>
              </w:rPr>
              <w:t xml:space="preserve">2</w:t>
            </w:r>
          </w:p>
        </w:tc>
        <w:tc>
          <w:tcPr>
            <w:tcW w:type="dxa" w:w="1900"/>
            <w:shd w:fill="FFFFFF" w:val="clear"/>
          </w:tcPr>
          <w:p>
            <w:pPr>
              <w:jc w:val="center"/>
            </w:pPr>
            <w:r>
              <w:rPr>
                <w:rFonts w:ascii="Calibri" w:cs="Calibri" w:eastAsia="Calibri" w:hAnsi="Calibri"/>
                <w:b w:val="false"/>
                <w:bCs w:val="false"/>
                <w:sz w:val="18"/>
                <w:szCs w:val="18"/>
              </w:rPr>
              <w:t xml:space="preserve">3</w:t>
            </w:r>
          </w:p>
        </w:tc>
        <w:tc>
          <w:tcPr>
            <w:tcW w:type="dxa" w:w="1900"/>
            <w:shd w:fill="FFFFFF" w:val="clear"/>
          </w:tcPr>
          <w:p>
            <w:pPr>
              <w:jc w:val="center"/>
            </w:pPr>
            <w:r>
              <w:rPr>
                <w:rFonts w:ascii="Calibri" w:cs="Calibri" w:eastAsia="Calibri" w:hAnsi="Calibri"/>
                <w:b w:val="false"/>
                <w:bCs w:val="false"/>
                <w:sz w:val="18"/>
                <w:szCs w:val="18"/>
              </w:rPr>
              <w:t xml:space="preserve">2</w:t>
            </w:r>
          </w:p>
        </w:tc>
        <w:tc>
          <w:tcPr>
            <w:tcW w:type="dxa" w:w="1900"/>
            <w:shd w:fill="FFFFFF" w:val="clear"/>
          </w:tcPr>
          <w:p>
            <w:pPr>
              <w:jc w:val="center"/>
            </w:pPr>
            <w:r>
              <w:rPr>
                <w:rFonts w:ascii="Calibri" w:cs="Calibri" w:eastAsia="Calibri" w:hAnsi="Calibri"/>
                <w:b w:val="false"/>
                <w:bCs w:val="false"/>
                <w:sz w:val="18"/>
                <w:szCs w:val="18"/>
              </w:rPr>
              <w:t xml:space="preserve">3</w:t>
            </w:r>
          </w:p>
        </w:tc>
      </w:tr>
      <w:tr>
        <w:tc>
          <w:tcPr>
            <w:tcW w:type="dxa" w:w="1900"/>
            <w:shd w:fill="FFFFFF" w:val="clear"/>
          </w:tcPr>
          <w:p>
            <w:pPr>
              <w:jc w:val="center"/>
            </w:pPr>
            <w:r>
              <w:rPr>
                <w:rFonts w:ascii="Calibri" w:cs="Calibri" w:eastAsia="Calibri" w:hAnsi="Calibri"/>
                <w:b/>
                <w:bCs/>
                <w:sz w:val="18"/>
                <w:szCs w:val="18"/>
              </w:rPr>
              <w:t xml:space="preserve">D5 *</w:t>
            </w:r>
          </w:p>
        </w:tc>
        <w:tc>
          <w:tcPr>
            <w:tcW w:type="dxa" w:w="1900"/>
            <w:shd w:fill="FFFFFF" w:val="clear"/>
          </w:tcPr>
          <w:p>
            <w:pPr>
              <w:jc w:val="center"/>
            </w:pPr>
            <w:r>
              <w:rPr>
                <w:rFonts w:ascii="Calibri" w:cs="Calibri" w:eastAsia="Calibri" w:hAnsi="Calibri"/>
                <w:b w:val="false"/>
                <w:bCs w:val="false"/>
                <w:sz w:val="18"/>
                <w:szCs w:val="18"/>
              </w:rPr>
              <w:t xml:space="preserve">2</w:t>
            </w:r>
          </w:p>
        </w:tc>
        <w:tc>
          <w:tcPr>
            <w:tcW w:type="dxa" w:w="1900"/>
            <w:shd w:fill="FFFFFF" w:val="clear"/>
          </w:tcPr>
          <w:p>
            <w:pPr>
              <w:jc w:val="center"/>
            </w:pPr>
            <w:r>
              <w:rPr>
                <w:rFonts w:ascii="Calibri" w:cs="Calibri" w:eastAsia="Calibri" w:hAnsi="Calibri"/>
                <w:b w:val="false"/>
                <w:bCs w:val="false"/>
                <w:sz w:val="18"/>
                <w:szCs w:val="18"/>
              </w:rPr>
              <w:t xml:space="preserve">3</w:t>
            </w:r>
          </w:p>
        </w:tc>
        <w:tc>
          <w:tcPr>
            <w:tcW w:type="dxa" w:w="1900"/>
            <w:shd w:fill="FFFFFF" w:val="clear"/>
          </w:tcPr>
          <w:p>
            <w:pPr>
              <w:jc w:val="center"/>
            </w:pPr>
            <w:r>
              <w:rPr>
                <w:rFonts w:ascii="Calibri" w:cs="Calibri" w:eastAsia="Calibri" w:hAnsi="Calibri"/>
                <w:b w:val="false"/>
                <w:bCs w:val="false"/>
                <w:sz w:val="18"/>
                <w:szCs w:val="18"/>
              </w:rPr>
              <w:t xml:space="preserve">2</w:t>
            </w:r>
          </w:p>
        </w:tc>
        <w:tc>
          <w:tcPr>
            <w:tcW w:type="dxa" w:w="1900"/>
            <w:shd w:fill="FFFFFF" w:val="clear"/>
          </w:tcPr>
          <w:p>
            <w:pPr>
              <w:jc w:val="center"/>
            </w:pPr>
            <w:r>
              <w:rPr>
                <w:rFonts w:ascii="Calibri" w:cs="Calibri" w:eastAsia="Calibri" w:hAnsi="Calibri"/>
                <w:b w:val="false"/>
                <w:bCs w:val="false"/>
                <w:sz w:val="18"/>
                <w:szCs w:val="18"/>
              </w:rPr>
              <w:t xml:space="preserve">3</w:t>
            </w:r>
          </w:p>
        </w:tc>
      </w:tr>
    </w:tbl>
    <w:p>
      <w:pPr>
        <w:spacing w:after="130" w:line="290"/>
      </w:pPr>
      <w:r>
        <w:rPr>
          <w:rFonts w:ascii="Calibri" w:cs="Calibri" w:eastAsia="Calibri" w:hAnsi="Calibri"/>
          <w:i/>
          <w:iCs/>
          <w:color w:val="555555"/>
          <w:sz w:val="17"/>
          <w:szCs w:val="17"/>
        </w:rPr>
        <w:t xml:space="preserve">* L'équipe dédiée aux jeunes est ouverte à partir de Minime, avec classement ≤ P10. Le nombre de femmes par équipe reste un point de vigilance particulier.</w:t>
      </w:r>
    </w:p>
    <w:p>
      <w:pPr>
        <w:spacing w:after="130" w:line="290"/>
      </w:pPr>
      <w:r>
        <w:rPr>
          <w:rFonts w:ascii="Calibri" w:cs="Calibri" w:eastAsia="Calibri" w:hAnsi="Calibri"/>
          <w:sz w:val="20"/>
          <w:szCs w:val="20"/>
        </w:rPr>
        <w:t xml:space="preserve">L'objectif de validation de la constitution initiale des équipes D1, D2 et D3 est fixé au 30 septembre de chaque année ; les inscriptions formelles suivent. Pour les équipes D4 et D5, le calendrier est moins serré et les inscriptions sont à finaliser avant le 15 octobre.</w:t>
      </w:r>
    </w:p>
    <w:p>
      <w:pPr>
        <w:spacing w:after="130" w:line="290"/>
      </w:pPr>
      <w:r>
        <w:rPr>
          <w:rFonts w:ascii="Calibri" w:cs="Calibri" w:eastAsia="Calibri" w:hAnsi="Calibri"/>
          <w:sz w:val="20"/>
          <w:szCs w:val="20"/>
        </w:rPr>
        <w:t xml:space="preserve">Régional et National : les exigences de composition (nombre de joueurs, quotas hommes/femmes, format des rencontres) pour les championnats régional et national sont fixées par les règlements respectifs de la Ligue SUDBaD et de la FFBaD, disponibles auprès de ces instances ou du Directeur sportif. Elles ne sont pas reproduites ici car elles évoluent d'une saison à l'autre et diffèrent selon les divisions ; l'équipe Nationale 2 du CBN s'y conforme strictement, sous la responsabilité du Directeur sportif et du staff technique. Le nombre de joueurs et de matchs de l'équipe Nationale 2 est identique à celui de la Départementale 1.</w:t>
      </w:r>
    </w:p>
    <w:p>
      <w:pPr>
        <w:pStyle w:val="Heading1"/>
        <w:pBdr>
          <w:bottom w:val="single" w:color="D11A36" w:sz="6" w:space="4"/>
        </w:pBdr>
        <w:spacing w:after="160" w:before="340"/>
      </w:pPr>
      <w:r>
        <w:rPr>
          <w:rFonts w:ascii="Arial" w:cs="Arial" w:eastAsia="Arial" w:hAnsi="Arial"/>
          <w:b/>
          <w:bCs/>
          <w:color w:val="D11A36"/>
          <w:sz w:val="25"/>
          <w:szCs w:val="25"/>
        </w:rPr>
        <w:t xml:space="preserve">V – Le rôle du Capitaine</w:t>
      </w:r>
    </w:p>
    <w:p>
      <w:pPr>
        <w:spacing w:after="130" w:line="290"/>
      </w:pPr>
      <w:r>
        <w:rPr>
          <w:rFonts w:ascii="Calibri" w:cs="Calibri" w:eastAsia="Calibri" w:hAnsi="Calibri"/>
          <w:sz w:val="20"/>
          <w:szCs w:val="20"/>
        </w:rPr>
        <w:t xml:space="preserve">Le Capitaine d'une équipe départementale est un bénévole qui assume plusieurs tâches en plus d'être membre de l'équipe. Outre le respect du règlement Interclubs BAD06, Ligue SUDBaD ou FFBaD selon le niveau, il est en charge d'inscrire son équipe sur BADNET, d'établir la composition avant chaque rencontre, de replanifier ces rencontres si nécessaire avec le Capitaine adverse, d'assurer l'accueil (collation) lors des rencontres à domicile et de fournir les volants pour ces mêmes rencontres.</w:t>
      </w:r>
    </w:p>
    <w:p>
      <w:pPr>
        <w:spacing w:after="130" w:line="290"/>
      </w:pPr>
      <w:r>
        <w:rPr>
          <w:rFonts w:ascii="Calibri" w:cs="Calibri" w:eastAsia="Calibri" w:hAnsi="Calibri"/>
          <w:sz w:val="20"/>
          <w:szCs w:val="20"/>
        </w:rPr>
        <w:t xml:space="preserve">Pour les rencontres à domicile, il est demandé aux Capitaines de respecter un budget moyen maximum de 15 € par rencontre et de conserver les justificatifs afin d'être remboursés (fourniture d'un RIB nécessaire — ce montant pourra être réévalué par le Bureau si nécessaire). Les Capitaines préviennent la Présidente, le Directeur sportif et le responsable digital et communication au moins deux semaines à l'avance des dates de leurs rencontres afin d'en assurer la communication globale, et veillent à ne pas programmer deux rencontres sur la même salle et le même jour, pour ne pas monopoliser un gymnase.</w:t>
      </w:r>
    </w:p>
    <w:p>
      <w:pPr>
        <w:spacing w:after="130" w:line="290"/>
      </w:pPr>
      <w:r>
        <w:rPr>
          <w:rFonts w:ascii="Calibri" w:cs="Calibri" w:eastAsia="Calibri" w:hAnsi="Calibri"/>
          <w:sz w:val="20"/>
          <w:szCs w:val="20"/>
        </w:rPr>
        <w:t xml:space="preserve">La composition de chaque rencontre est établie par le Capitaine et instruite sur BADNET ou sur ICBAD selon la compétition, en tenant compte de multiples facteurs. La communication avec les joueurs et joueuses est impérative, mais la composition établie par le Capitaine reste applicable.</w:t>
      </w:r>
    </w:p>
    <w:p>
      <w:pPr>
        <w:spacing w:after="130" w:line="290"/>
      </w:pPr>
      <w:r>
        <w:rPr>
          <w:rFonts w:ascii="Calibri" w:cs="Calibri" w:eastAsia="Calibri" w:hAnsi="Calibri"/>
          <w:sz w:val="20"/>
          <w:szCs w:val="20"/>
        </w:rPr>
        <w:t xml:space="preserve">Pour l'équipe évoluant au niveau national (Nationale 2) et pour l'équipe régionale, le rôle de capitaine sur le terrain peut être confié à un joueur désigné par le Directeur sportif, en coordination étroite avec le staff technique pour les compositions, la logistique des déplacements et la relation avec les instances organisatrices.</w:t>
      </w:r>
    </w:p>
    <w:p>
      <w:pPr>
        <w:pStyle w:val="Heading1"/>
        <w:pBdr>
          <w:bottom w:val="single" w:color="D11A36" w:sz="6" w:space="4"/>
        </w:pBdr>
        <w:spacing w:after="160" w:before="340"/>
      </w:pPr>
      <w:r>
        <w:rPr>
          <w:rFonts w:ascii="Arial" w:cs="Arial" w:eastAsia="Arial" w:hAnsi="Arial"/>
          <w:b/>
          <w:bCs/>
          <w:color w:val="D11A36"/>
          <w:sz w:val="25"/>
          <w:szCs w:val="25"/>
        </w:rPr>
        <w:t xml:space="preserve">VI – Mobilité des joueurs pendant la saison</w:t>
      </w:r>
    </w:p>
    <w:p>
      <w:pPr>
        <w:spacing w:after="130" w:line="290"/>
      </w:pPr>
      <w:r>
        <w:rPr>
          <w:rFonts w:ascii="Calibri" w:cs="Calibri" w:eastAsia="Calibri" w:hAnsi="Calibri"/>
          <w:sz w:val="20"/>
          <w:szCs w:val="20"/>
        </w:rPr>
        <w:t xml:space="preserve">Départemental : l'affectation d'un joueur à une équipe en début de saison ne vaut pas appartenance à cette même équipe pour toute la saison. Selon l'évolution des classements, un joueur peut être amené à évoluer dans une autre équipe ; ce point reste sous la vigilance de la commission Interclubs, en conformité avec le règlement BAD06.</w:t>
      </w:r>
    </w:p>
    <w:p>
      <w:pPr>
        <w:spacing w:after="130" w:line="290"/>
      </w:pPr>
      <w:r>
        <w:rPr>
          <w:rFonts w:ascii="Calibri" w:cs="Calibri" w:eastAsia="Calibri" w:hAnsi="Calibri"/>
          <w:sz w:val="20"/>
          <w:szCs w:val="20"/>
        </w:rPr>
        <w:t xml:space="preserve">En général, c'est avec un meilleur classement surpassant ceux d'autres joueurs d'une équipe « supérieure » qu'un joueur peut intégrer cette nouvelle équipe. Le chemin inverse est problématique, voire interdit, dès lors que le joueur a déjà participé à deux rencontres avec son équipe d'origine (joueur dit « brûlé »). Dans tous les cas, la règle de la valeur globale des équipes lors de chaque journée de rencontres reste applicable, et l'intégration d'un nouveau joueur en cours de saison suit les mêmes règles.</w:t>
      </w:r>
    </w:p>
    <w:p>
      <w:pPr>
        <w:spacing w:after="130" w:line="290"/>
      </w:pPr>
      <w:r>
        <w:rPr>
          <w:rFonts w:ascii="Calibri" w:cs="Calibri" w:eastAsia="Calibri" w:hAnsi="Calibri"/>
          <w:sz w:val="20"/>
          <w:szCs w:val="20"/>
        </w:rPr>
        <w:t xml:space="preserve">Régional et National : la sélection et les éventuels ajustements de composition en cours de saison relèvent de la seule appréciation du Directeur sportif et du staff technique, sur la base de critères sportifs et d'engagement envers le Club, dans le respect des règlements SUDBaD et FFBaD applicables à ces niveaux.</w:t>
      </w:r>
    </w:p>
    <w:p>
      <w:pPr>
        <w:pBdr>
          <w:top w:val="single" w:color="D11A36" w:sz="8" w:space="10"/>
          <w:bottom w:val="single" w:color="D11A36" w:sz="8" w:space="10"/>
        </w:pBdr>
        <w:shd w:fill="F5F0EA" w:val="clear"/>
        <w:spacing w:after="0" w:before="420"/>
      </w:pPr>
      <w:r>
        <w:t xml:space="preserve"/>
      </w:r>
    </w:p>
    <w:p>
      <w:pPr>
        <w:shd w:fill="F5F0EA" w:val="clear"/>
        <w:spacing w:after="180" w:before="180" w:line="300"/>
      </w:pPr>
      <w:r>
        <w:rPr>
          <w:rFonts w:ascii="Calibri" w:cs="Calibri" w:eastAsia="Calibri" w:hAnsi="Calibri"/>
          <w:b/>
          <w:bCs/>
          <w:i/>
          <w:iCs/>
          <w:color w:val="1A1A1A"/>
          <w:sz w:val="21"/>
          <w:szCs w:val="21"/>
        </w:rPr>
        <w:t xml:space="preserve">Au-delà des classements et des règlements, les Interclubs sont avant tout une aventure collective : le plaisir de se retrouver, de se soutenir sur le terrain et de porter ensemble les couleurs du CBN, à tous les niveaux. L'objectif sportif de chaque équipe est fixé par le Club ; chaque joueuse et chaque joueur qui l'intègre s'engage à le porter avec sérieux, engagement et bonne humeur, dans le respect de ses partenaires comme de ses adversaires. Porter la tenue du Club à chaque rencontre n'est pas une option mais une condition pour représenter le CBN : c'est le signe visible de cette appartenance commune, celle qui fait la force, la fierté et le plaisir de jouer ensemble.</w:t>
      </w:r>
    </w:p>
    <w:p>
      <w:pPr>
        <w:pBdr>
          <w:bottom w:val="single" w:color="D11A36" w:sz="8" w:space="10"/>
        </w:pBdr>
        <w:shd w:fill="F5F0EA" w:val="clear"/>
        <w:spacing w:after="400" w:before="0"/>
      </w:pPr>
      <w:r>
        <w:t xml:space="preserve"/>
      </w:r>
    </w:p>
    <w:p>
      <w:pPr>
        <w:spacing w:after="40" w:before="200"/>
        <w:jc w:val="center"/>
      </w:pPr>
      <w:r>
        <w:rPr>
          <w:b/>
          <w:bCs/>
          <w:sz w:val="20"/>
          <w:szCs w:val="20"/>
        </w:rPr>
        <w:t xml:space="preserve">KNOBLOCH ELODIE</w:t>
      </w:r>
    </w:p>
    <w:p>
      <w:pPr>
        <w:spacing w:after="40"/>
        <w:jc w:val="center"/>
      </w:pPr>
      <w:r>
        <w:rPr>
          <w:color w:val="555555"/>
          <w:sz w:val="20"/>
          <w:szCs w:val="20"/>
        </w:rPr>
        <w:t xml:space="preserve">Présidente CBN</w:t>
      </w:r>
    </w:p>
    <w:p>
      <w:pPr>
        <w:spacing w:after="40"/>
        <w:jc w:val="center"/>
      </w:pPr>
      <w:r>
        <w:rPr>
          <w:color w:val="555555"/>
          <w:sz w:val="20"/>
          <w:szCs w:val="20"/>
        </w:rPr>
        <w:t xml:space="preserve">VERON MATHIAS — Directeur sportif</w:t>
      </w:r>
    </w:p>
    <w:p>
      <w:pPr>
        <w:spacing w:after="200"/>
        <w:jc w:val="center"/>
      </w:pPr>
      <w:r>
        <w:rPr>
          <w:i/>
          <w:iCs/>
          <w:color w:val="555555"/>
          <w:sz w:val="17"/>
          <w:szCs w:val="17"/>
        </w:rPr>
        <w:t xml:space="preserve">(Édition 3 — Saison 2026-2027, remplace l'édition 2 du 27 août 2020)</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2026-08-20T11:46:06.169Z</dcterms:created>
  <dcterms:modified xsi:type="dcterms:W3CDTF">2026-08-20T11:46:06.169Z</dcterms:modified>
</cp:coreProperties>
</file>

<file path=docProps/custom.xml><?xml version="1.0" encoding="utf-8"?>
<Properties xmlns="http://schemas.openxmlformats.org/officeDocument/2006/custom-properties" xmlns:vt="http://schemas.openxmlformats.org/officeDocument/2006/docPropsVTypes"/>
</file>